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18</w:t>
      </w:r>
    </w:p>
    <w:p>
      <w:r>
        <w:t>Bundesgericht (BGE), 2005-01-04, DE</w:t>
      </w:r>
    </w:p>
    <w:p>
      <w:r>
        <w:rPr>
          <w:b/>
        </w:rPr>
        <w:t xml:space="preserve">Quelle: </w:t>
      </w:r>
      <w:r>
        <w:t>https://mcp.opencaselaw.ch/entscheid/bge_131 I 18</w:t>
      </w:r>
    </w:p>
    <w:p>
      <w:r>
        <w:t>FR: ATF 131 I 18</w:t>
      </w:r>
    </w:p>
    <w:p>
      <w:r>
        <w:t>IT: DTF 131 I 18</w:t>
      </w:r>
    </w:p>
    <w:p>
      <w:pPr>
        <w:pStyle w:val="Heading2"/>
      </w:pPr>
      <w:r>
        <w:t>Regeste</w:t>
      </w:r>
    </w:p>
    <w:p>
      <w:r>
        <w:t>Regeste Anspruch auf Begründung des negativen Einbürgerungsentscheids einer Gemeindeversammlung (Art. 29 Abs. 2 BV). Bestätigt die Gemeindeversammlung einen ablehnenden Antrag des Gemeinderats, stimmt sie in der Regel auch seiner Begründung zu; die Begründung des Gemeindeversammlungsbeschlusses ergibt sich deshalb aus der Antragsbegründung durch den Gemeinderat (E. 3.1). Ehegatten, die je ein Einbürgerungsgesuch stellen, haben grundsätzlich Anspruch auf eine selbständige Beurteilung ihres Gesuchs und, bei dessen Ablehnung, auf eine individuelle Begründung (E. 3.3). Dies gilt jedenfalls dann, wenn die Einbürgerungsvoraussetzungen der Eheleute unterschiedlich zu beurteilen sind und diese nicht auf eine individuelle Beurteilung ihrer Gesuche verzichtet haben (E. 3.4).</w:t>
      </w:r>
    </w:p>
    <w:p>
      <w:pPr>
        <w:pStyle w:val="Heading2"/>
      </w:pPr>
      <w:r>
        <w:t>Erwägungen</w:t>
      </w:r>
    </w:p>
    <w:p>
      <w:r>
        <w:rPr>
          <w:b/>
        </w:rPr>
        <w:t>E. 3</w:t>
      </w:r>
    </w:p>
    <w:p>
      <w:r>
        <w:t>Die Beschwerdeführerin rügt sodann, die Abweisung ihres Einbürgerungsgesuchs sei nicht begründet worden. In der Diskussion an der Gemeindeversammlung hätten sich zwei Personen (darunter ihr Sohn) für die Gutheissung des Einbürgerungsgesuchs eingesetzt; es habe kein einziges Votum gegeben, das Gründe gegen die Einbürgerung der Beschwerdeführerin genannt habe. Auch in der Stellungnahme des Gemeinderates in der Einladung zur Gemeindeversammlung vom 9. Juni 2004 sei lediglich die mangelnde Integration von Y.A. als Ablehnungsgrund genannt worden; zum Integrationsstand der Beschwerdeführerin habe sich der Gemeinderat nicht geäussert. Der Gemeinderat macht geltend, die Begründung für die Ablehnung des Einbürgerungsgesuchs habe der Gemeinderat mit seinem Traktandenbericht sowie mit den mündlichen Erläuterungen des Gemeindeammanns anlässlich der Gemeindeversammlung gegeben. Dass die Stimmberechtigten keine ausführliche Diskussion verlangt hätten, sei als Ausdruck des Einverständnisses zu betrachten.</w:t>
      </w:r>
    </w:p>
    <w:p>
      <w:r>
        <w:rPr>
          <w:b/>
        </w:rPr>
        <w:t>E. 3.1</w:t>
      </w:r>
    </w:p>
    <w:p>
      <w:r>
        <w:t>Nach der bundesgerichtlichen Rechtsprechung unterliegen ablehnende Einbürgerungsentscheide der Begründungspflicht ( BGE 129 I 217 E. 3.3 S. 230, BGE 129 I 232 E. 3.3 und 3.4 S. 237 ff.; BGE 130 I 140 E. 4.2 S. 146 f.). Es gibt keine feste Praxis, wie dieser Pflicht bei Einbürgerungsbeschlüssen der Gemeindeversammlung nachzukommen ist (vgl. BGE 130 I 140 E. 5.3.5 und 5.3.6 S. 152 ff.). Problematisch sind vor allem diejenigen Gemeindeversammlungsbeschlüsse, die von der Empfehlung des Gemeinderats oder einer vorberatenden Kommission abweichen. Bestätigt die Gemeindeversammlung - wie im vorliegenden Fall - einen ablehnenden Antrag des Gemeinderats, kann in der Regel - sofern abweichende Voten BGE 131 I 18 S. 21 nicht etwas anderes nahe legen - davon ausgegangen werden, dass die Gemeindeversammlung dem Antrag und seiner Begründung zustimmt (so auch Gemeindeamt des Kantons Zürich, Empfehlungen zum Einbürgerungsverfahren vom Dezember 2003, S. 2/3). Im vorliegenden Fall fand an der Gemeindeversammlung - von zwei die Einbürgerung befürwortenden Voten abgesehen - keine Diskussion statt. Die Mehrheit der Stimmberechtigten folgte somit nicht nur dem Antrag des Gemeinderats, sondern machte sich auch dessen Begründung zu eigen. Die Begründung des Gemeindeversammlungsbeschlusses ergibt sich deshalb aus der Antragsbegründung durch den Gemeinderat in der Einladung zur Gemeindeversammlung und den mündlichen Erläuterungen des Gemeindeammanns an der Gemeindeversammlung.</w:t>
      </w:r>
    </w:p>
    <w:p>
      <w:r>
        <w:rPr>
          <w:b/>
        </w:rPr>
        <w:t>E. 3.2</w:t>
      </w:r>
    </w:p>
    <w:p>
      <w:r>
        <w:t>Darin werden zunächst allgemeine Ausführungen zu den Voraussetzungen gemacht, die praxisgemäss von allen Gesuchstellern verlangt werden. Eine konkrete Begründung, welche Voraussetzungen im vorliegenden Fall fehlen bzw. nicht genügend erfüllt seien, wird nur für Y.A. gegeben. In der schriftlichen Begründung heisst es: "Im vorliegenden Fall ist der Gemeinderat der Meinung, dass vor allem bei Y.A. die sprachliche Integration in keiner Weise den Vorgaben entspricht und minimale Grundkenntnisse zu unserem Demokratiesystem fehlen". Laut Protokoll der Gemeindeversammlung führte der Gemeindeammann mündlich aus: "Trotz des über 30-jährigen Aufenthaltes in der Schweiz konnte sich der Gemeinderat an einem Gespräch davon überzeugen, dass vor allem die sprachliche Integration von Y.A. nicht genügend vorhanden ist". Über die sprachliche Integration und die staatsbürgerlichen Kenntnisse der Beschwerdeführerin wurde nichts gesagt. Der Gemeinderat räumt in seiner Vernehmlassung ein, dass sich die Beschwerdeführerin besser verständigen könne als ihr Ehemann. Da aber ein gemeinsames Einbürgerungsgesuch gestellt worden sei, habe der Gemeinderat dieses gesamthaft abgelehnt. Im Übrigen stehe es der Beschwerdeführerin frei, ein neues, nur auf sie bezogenes Einbürgerungsgesuch zu stellen. Damit gibt der Gemeinderat zu erkennen, dass ein solches Gesuch nicht von vornherein chancenlos wäre.</w:t>
      </w:r>
    </w:p>
    <w:p>
      <w:r>
        <w:rPr>
          <w:b/>
        </w:rPr>
        <w:t>E. 3.3</w:t>
      </w:r>
    </w:p>
    <w:p>
      <w:r>
        <w:t>Nach dem Gesagten ist effektiv nur die Ablehnung des Einbürgerungsgesuchs des Ehemanns der Beschwerdeführerin BGE 131 I 18 S. 22 begründet worden. Dieses Vorgehen wäre verfassungsrechtlich nicht zu beanstanden, wenn tatsächlich ein gemeinsames Einbürgerungsgesuch der Eheleute A. vorgelegen hätte, das nur gesamthaft gutgeheissen oder abgelehnt werden konnte. Die Beschwerdeführerin ist indessen der Ansicht, sie habe ein eigenständiges Einbürgerungsgesuch gestellt und habe deswegen Anspruch auf eine Begründung, die sich mit ihrem Gesuch auseinandersetzt. Wie sich aus den Akten ergibt, hat die Beschwerdeführerin ein eigenes Einbürgerungsgesuch gestellt, in dem sie - und nur sie - als Gesuchstellerin genannt wird. Weder das kantonale Gesetz über das Kantons- und Gemeindebürgerrecht noch die dazugehörige Verordnung über Einbürgerungen und Bürgerrechtsentlassungen vom 8. Dezember 1993 enthalten Bestimmungen über den gemeinsamen Erwerb und Verlust des Bürgerrechts durch Eheleute. § 10 Abs. 1 KBüG bestimmt lediglich, dass sich die Einbürgerung und die Bürgerrechtsentlassung in der Regel auf die unmündigen Kinder des Gesuchstellers erstrecken; Abs. 2 präzisiert, dass Kinder nach dem zurückgelegten 16. Altersjahr nur mit ihrer schriftlichen Zustimmung selbständig eingebürgert oder aus dem Bürgerrecht entlassen werden können. Aus dieser Regelung lässt sich schliessen, dass der Grundsatz der selbständigen Einbürgerung jedes Gesuchstellers auch für Eheleute gilt. Dies bestätigen die Richtlinien des Departements des Innern vom 16. April 2003, die eine individuelle Beurteilung der sprachlichen Fähigkeiten der Bewerber verlangen. Die Richtlinien sprechen sich gegen die in manchen Gemeinden geübte Praxis aus, zur Wahrung der Einheit des Bürgerrechts der Familie eine grössere Toleranz bei der Hausfrau und Mutter walten zu lassen, die sich in sprachlicher Hinsicht oft als schwächstes Glied der Familie erweise. In solchen Fällen sei, so die Richtlinien, das Gesuch der sprachunkundigen Hausfrau und Mutter abzuweisen, d.h. sie sei aus der Einbürgerung der übrigen Familienmitglieder auszuklammern. Es bleibe ihr dann unbenommen, durch geeignete Kurse ihre Sprachkenntnisse zu verbessern und sich nachträglich einbürgern zu lassen.</w:t>
      </w:r>
    </w:p>
    <w:p>
      <w:r>
        <w:rPr>
          <w:b/>
        </w:rPr>
        <w:t>E. 3.4</w:t>
      </w:r>
    </w:p>
    <w:p>
      <w:r>
        <w:t>Daraus ergibt sich, dass die sprachlichen Fähigkeiten - wie auch die übrigen Einbürgerungsvoraussetzungen - bei verheirateten Gesuchstellern grundsätzlich individuell zu beurteilen und, im Fall der Ablehnung des Gesuchs, auch individuell zu begründen BGE 131 I 18 S. 23 sind. Dies gilt jedenfalls dann, wenn die Einbürgerungsvoraussetzungen der Eheleute unterschiedlich zu beurteilen sind und diese nicht auf eine individuelle Beurteilung ihrer Gesuche verzichtet haben. Ein derartiger Verzicht läge vor, wenn die Eheleute - nach Hinweis auf die Möglichkeit einer getrennten Abstimmung über ihre Gesuche - auf einer gemeinsamen Abstimmung an der Gemeindeversammlung beharren und so zum Ausdruck bringen, dass sie nur gemeinsam oder überhaupt nicht eingebürgert werden wollen (vgl. Kreisschreiben des Departements des Innern vom August 2002 betreffend Einbürgerungen im Einwohnerrat und in der Gemeindeversammlung Ziff. 3.2 S. 4). Nach der Aktenlage wurde eine getrennte Abstimmung über die Gesuche der Eheleute A. nicht in Betracht gezogen. Dementsprechend wurde die Beschwerdeführerin auch nicht auf diese Möglichkeit hingewiesen, obwohl dies aufgrund der gegebenen Sachlage und der kantonalen Richtlinien geboten gewesen wäre. Es kann daher nicht angenommen werden, die Beschwerdeführerin habe auf eine individuelle Prüfung ihres Gesuchs verzichtet. Ihr aus Art. 29 Abs. 2 BV folgender Anspruch auf eine auf sie bezogene Begründung blieb intakt. Da nur die Abweisung des Einbürgerungsgesuchs von Y.A. begründet wurde, fehlt - in Bezug auf das Einbürgerungsgesuch der Beschwerdeführerin - eine Begründung. Die Rüge der Verletzung von Art. 29 Abs. 2 BV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